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00" w:after="80"/>
        <w:jc w:val="center"/>
      </w:pPr>
      <w:r>
        <w:drawing xmlns:a="http://schemas.openxmlformats.org/drawingml/2006/main">
          <wp:inline distT="0" distB="0" distL="0" distR="0">
            <wp:extent cx="4754880" cy="1797345"/>
            <wp:effectExtent l="0" t="0" r="0" b="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797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before="360" w:after="40"/>
        <w:jc w:val="center"/>
      </w:pPr>
      <w:r>
        <w:rPr>
          <w:b w:val="1"/>
          <w:bCs w:val="1"/>
          <w:outline w:val="0"/>
          <w:color w:val="0e6e8c"/>
          <w:sz w:val="52"/>
          <w:szCs w:val="52"/>
          <w:u w:color="0e6e8c"/>
          <w:rtl w:val="0"/>
          <w:lang w:val="en-US"/>
          <w14:textFill>
            <w14:solidFill>
              <w14:srgbClr w14:val="0E6E8C"/>
            </w14:solidFill>
          </w14:textFill>
        </w:rPr>
        <w:t>Executive Summary &amp; Impact Report</w:t>
      </w:r>
    </w:p>
    <w:p>
      <w:pPr>
        <w:pStyle w:val="Body"/>
        <w:spacing w:after="40"/>
        <w:jc w:val="center"/>
      </w:pPr>
      <w:r>
        <w:rPr>
          <w:b w:val="1"/>
          <w:bCs w:val="1"/>
          <w:outline w:val="0"/>
          <w:color w:val="d6166b"/>
          <w:sz w:val="28"/>
          <w:szCs w:val="28"/>
          <w:u w:color="d6166b"/>
          <w:rtl w:val="0"/>
          <w:lang w:val="en-US"/>
          <w14:textFill>
            <w14:solidFill>
              <w14:srgbClr w14:val="D6166B"/>
            </w14:solidFill>
          </w14:textFill>
        </w:rPr>
        <w:t>June 2026</w:t>
      </w:r>
    </w:p>
    <w:p>
      <w:pPr>
        <w:pStyle w:val="Body"/>
        <w:spacing w:after="280"/>
        <w:jc w:val="center"/>
      </w:pPr>
      <w:r>
        <w:rPr>
          <w:i w:val="1"/>
          <w:iCs w:val="1"/>
          <w:outline w:val="0"/>
          <w:color w:val="6a7378"/>
          <w:u w:color="6a7378"/>
          <w:rtl w:val="0"/>
          <w:lang w:val="en-US"/>
          <w14:textFill>
            <w14:solidFill>
              <w14:srgbClr w14:val="6A7378"/>
            </w14:solidFill>
          </w14:textFill>
        </w:rPr>
        <w:t>A nonprofit advocating for women, children, and families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8"/>
      </w:tblGrid>
      <w:tr>
        <w:tblPrEx>
          <w:shd w:val="clear" w:color="auto" w:fill="ced7e7"/>
        </w:tblPrEx>
        <w:trPr>
          <w:trHeight w:val="1538" w:hRule="atLeast"/>
        </w:trPr>
        <w:tc>
          <w:tcPr>
            <w:tcW w:type="dxa" w:w="9648"/>
            <w:tcBorders>
              <w:top w:val="nil"/>
              <w:left w:val="nil"/>
              <w:bottom w:val="nil"/>
              <w:right w:val="nil"/>
            </w:tcBorders>
            <w:shd w:val="clear" w:color="auto" w:fill="ea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0e6e8c"/>
                <w:sz w:val="26"/>
                <w:szCs w:val="26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OUR MISSION</w:t>
            </w:r>
          </w:p>
          <w:p>
            <w:pPr>
              <w:pStyle w:val="Body"/>
              <w:bidi w:val="0"/>
              <w:spacing w:line="312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 xml:space="preserve">Empowerment Pathways exists to advocate for </w:t>
            </w:r>
            <w:r>
              <w:rPr>
                <w:b w:val="1"/>
                <w:bCs w:val="1"/>
                <w:outline w:val="0"/>
                <w:color w:val="d6166b"/>
                <w:sz w:val="23"/>
                <w:szCs w:val="23"/>
                <w:u w:color="d6166b"/>
                <w:shd w:val="nil" w:color="auto" w:fill="auto"/>
                <w:rtl w:val="0"/>
                <w:lang w:val="en-US"/>
                <w14:textFill>
                  <w14:solidFill>
                    <w14:srgbClr w14:val="D6166B"/>
                  </w14:solidFill>
                </w14:textFill>
              </w:rPr>
              <w:t>women, children, and families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 xml:space="preserve"> by delivering </w:t>
            </w:r>
            <w:r>
              <w:rPr>
                <w:b w:val="1"/>
                <w:bCs w:val="1"/>
                <w:outline w:val="0"/>
                <w:color w:val="0e6e8c"/>
                <w:sz w:val="23"/>
                <w:szCs w:val="23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parenting education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b w:val="1"/>
                <w:bCs w:val="1"/>
                <w:outline w:val="0"/>
                <w:color w:val="0e6e8c"/>
                <w:sz w:val="23"/>
                <w:szCs w:val="23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mental health therapy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 xml:space="preserve">, and </w:t>
            </w:r>
            <w:r>
              <w:rPr>
                <w:b w:val="1"/>
                <w:bCs w:val="1"/>
                <w:outline w:val="0"/>
                <w:color w:val="0e6e8c"/>
                <w:sz w:val="23"/>
                <w:szCs w:val="23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youth mentorship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 xml:space="preserve">. Through compassionate care and steadfast </w:t>
            </w:r>
            <w:r>
              <w:rPr>
                <w:b w:val="1"/>
                <w:bCs w:val="1"/>
                <w:outline w:val="0"/>
                <w:color w:val="0e6e8c"/>
                <w:sz w:val="23"/>
                <w:szCs w:val="23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advocacy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, we help our community advocate, connect, and grow.</w:t>
            </w:r>
          </w:p>
        </w:tc>
      </w:tr>
    </w:tbl>
    <w:p>
      <w:pPr>
        <w:pStyle w:val="Body"/>
        <w:widowControl w:val="0"/>
        <w:spacing w:after="280" w:line="240" w:lineRule="auto"/>
        <w:jc w:val="center"/>
      </w:pPr>
    </w:p>
    <w:p>
      <w:pPr>
        <w:pStyle w:val="Body"/>
        <w:spacing w:before="360" w:after="160"/>
        <w:jc w:val="center"/>
      </w:pPr>
      <w:r>
        <w:rPr>
          <w:b w:val="1"/>
          <w:bCs w:val="1"/>
          <w:outline w:val="0"/>
          <w:color w:val="6a7378"/>
          <w:sz w:val="24"/>
          <w:szCs w:val="24"/>
          <w:u w:color="6a7378"/>
          <w:rtl w:val="0"/>
          <w14:textFill>
            <w14:solidFill>
              <w14:srgbClr w14:val="6A7378"/>
            </w14:solidFill>
          </w14:textFill>
        </w:rPr>
        <w:t>2025</w:t>
      </w:r>
      <w:r>
        <w:rPr>
          <w:b w:val="1"/>
          <w:bCs w:val="1"/>
          <w:outline w:val="0"/>
          <w:color w:val="6a7378"/>
          <w:sz w:val="24"/>
          <w:szCs w:val="24"/>
          <w:u w:color="6a7378"/>
          <w:rtl w:val="0"/>
          <w:lang w:val="en-US"/>
          <w14:textFill>
            <w14:solidFill>
              <w14:srgbClr w14:val="6A7378"/>
            </w14:solidFill>
          </w14:textFill>
        </w:rPr>
        <w:t>–</w:t>
      </w:r>
      <w:r>
        <w:rPr>
          <w:b w:val="1"/>
          <w:bCs w:val="1"/>
          <w:outline w:val="0"/>
          <w:color w:val="6a7378"/>
          <w:sz w:val="24"/>
          <w:szCs w:val="24"/>
          <w:u w:color="6a7378"/>
          <w:rtl w:val="0"/>
          <w:lang w:val="en-US"/>
          <w14:textFill>
            <w14:solidFill>
              <w14:srgbClr w14:val="6A7378"/>
            </w14:solidFill>
          </w14:textFill>
        </w:rPr>
        <w:t>2026 AT A GLANCE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6"/>
        <w:gridCol w:w="3216"/>
        <w:gridCol w:w="3216"/>
      </w:tblGrid>
      <w:tr>
        <w:tblPrEx>
          <w:shd w:val="clear" w:color="auto" w:fill="ced7e7"/>
        </w:tblPrEx>
        <w:trPr>
          <w:trHeight w:val="1128" w:hRule="atLeast"/>
        </w:trPr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fce4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d6166b"/>
                <w:sz w:val="60"/>
                <w:szCs w:val="60"/>
                <w:u w:color="d6166b"/>
                <w:shd w:val="nil" w:color="auto" w:fill="auto"/>
                <w:rtl w:val="0"/>
                <w:lang w:val="en-US"/>
                <w14:textFill>
                  <w14:solidFill>
                    <w14:srgbClr w14:val="D6166B"/>
                  </w14:solidFill>
                </w14:textFill>
              </w:rPr>
              <w:t>164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Clients Served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ea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0e6e8c"/>
                <w:sz w:val="60"/>
                <w:szCs w:val="60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2,273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Appointments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fdf0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39200"/>
                <w:sz w:val="60"/>
                <w:szCs w:val="60"/>
                <w:u w:color="f39200"/>
                <w:shd w:val="nil" w:color="auto" w:fill="auto"/>
                <w:rtl w:val="0"/>
                <w:lang w:val="en-US"/>
                <w14:textFill>
                  <w14:solidFill>
                    <w14:srgbClr w14:val="F39200"/>
                  </w14:solidFill>
                </w14:textFill>
              </w:rPr>
              <w:t>95%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Positive Outcomes</w:t>
            </w:r>
          </w:p>
        </w:tc>
      </w:tr>
    </w:tbl>
    <w:p>
      <w:pPr>
        <w:pStyle w:val="Body"/>
        <w:widowControl w:val="0"/>
        <w:spacing w:before="360" w:after="160" w:line="240" w:lineRule="auto"/>
        <w:jc w:val="center"/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pBdr>
          <w:top w:val="nil"/>
          <w:left w:val="nil"/>
          <w:bottom w:val="single" w:color="0e6e8c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0e6e8c"/>
          <w:sz w:val="32"/>
          <w:szCs w:val="32"/>
          <w:u w:color="0e6e8c"/>
          <w:rtl w:val="0"/>
          <w:lang w:val="en-US"/>
          <w14:textFill>
            <w14:solidFill>
              <w14:srgbClr w14:val="0E6E8C"/>
            </w14:solidFill>
          </w14:textFill>
        </w:rPr>
        <w:t>Community Growth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Over the past year, Empowerment Pathways has put down deep roots in the </w:t>
      </w:r>
      <w:r>
        <w:rPr>
          <w:b w:val="1"/>
          <w:bCs w:val="1"/>
          <w:outline w:val="0"/>
          <w:color w:val="0e6e8c"/>
          <w:u w:color="0e6e8c"/>
          <w:rtl w:val="0"/>
          <w:lang w:val="en-US"/>
          <w14:textFill>
            <w14:solidFill>
              <w14:srgbClr w14:val="0E6E8C"/>
            </w14:solidFill>
          </w14:textFill>
        </w:rPr>
        <w:t>Wilson community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, expanding both the number of families we serve and the strength of our local partnerships. What began as a small grassroots effort has grown into a trusted neighborhood resource for parents, youth, and caregivers.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Central to this momentum is our growing connection with </w:t>
      </w:r>
      <w:r>
        <w:rPr>
          <w:b w:val="1"/>
          <w:bCs w:val="1"/>
          <w:outline w:val="0"/>
          <w:color w:val="d6166b"/>
          <w:u w:color="d6166b"/>
          <w:rtl w:val="0"/>
          <w:lang w:val="en-US"/>
          <w14:textFill>
            <w14:solidFill>
              <w14:srgbClr w14:val="D6166B"/>
            </w14:solidFill>
          </w14:textFill>
        </w:rPr>
        <w:t>Wilson Area LINCS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(Linking Individuals, Neighborhoods, and Community Services). Through this partnership we coordinate referrals, share resources, and reach families who might otherwise fall through the cracks 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— 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ensuring that support is woven directly into the fabric of the Wilson community.</w:t>
      </w: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Deeper engagement with families across the Wilson community.</w:t>
      </w: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Active collaboration and referral pathways with Wilson Area LINCS.</w:t>
      </w: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A growing network of community partners, schools, and local advocates.</w:t>
      </w:r>
    </w:p>
    <w:p>
      <w:pPr>
        <w:pStyle w:val="Body"/>
        <w:pBdr>
          <w:top w:val="nil"/>
          <w:left w:val="nil"/>
          <w:bottom w:val="single" w:color="9b3b96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9b3b96"/>
          <w:sz w:val="32"/>
          <w:szCs w:val="32"/>
          <w:u w:color="9b3b96"/>
          <w:rtl w:val="0"/>
          <w:lang w:val="en-US"/>
          <w14:textFill>
            <w14:solidFill>
              <w14:srgbClr w14:val="9B3B96"/>
            </w14:solidFill>
          </w14:textFill>
        </w:rPr>
        <w:t>Leadership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Empowerment Pathways has matured from a founding team of just </w:t>
      </w:r>
      <w:r>
        <w:rPr>
          <w:b w:val="1"/>
          <w:bCs w:val="1"/>
          <w:outline w:val="0"/>
          <w:color w:val="9b3b96"/>
          <w:u w:color="9b3b96"/>
          <w:rtl w:val="0"/>
          <w:lang w:val="en-US"/>
          <w14:textFill>
            <w14:solidFill>
              <w14:srgbClr w14:val="9B3B96"/>
            </w14:solidFill>
          </w14:textFill>
        </w:rPr>
        <w:t>2 board members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into a comprehensive leadership structure spanning executive, advisory, board, and director roles. This evolution gives the organization the governance depth and operational capacity to serve more families with accountability and care.</w:t>
      </w:r>
    </w:p>
    <w:p>
      <w:pPr>
        <w:pStyle w:val="Body"/>
        <w:spacing w:before="160" w:after="80"/>
        <w:jc w:val="center"/>
      </w:pPr>
      <w:r>
        <w:drawing xmlns:a="http://schemas.openxmlformats.org/drawingml/2006/main">
          <wp:inline distT="0" distB="0" distL="0" distR="0">
            <wp:extent cx="6126480" cy="3486954"/>
            <wp:effectExtent l="0" t="0" r="0" b="0"/>
            <wp:docPr id="1073741827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2" descr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869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</w:pPr>
      <w:r>
        <w:rPr>
          <w:i w:val="1"/>
          <w:iCs w:val="1"/>
          <w:outline w:val="0"/>
          <w:color w:val="6a7378"/>
          <w:sz w:val="18"/>
          <w:szCs w:val="18"/>
          <w:u w:color="6a7378"/>
          <w:rtl w:val="0"/>
          <w:lang w:val="en-US"/>
          <w14:textFill>
            <w14:solidFill>
              <w14:srgbClr w14:val="6A7378"/>
            </w14:solidFill>
          </w14:textFill>
        </w:rPr>
        <w:t>Our current organizational and leadership structure.</w:t>
      </w:r>
    </w:p>
    <w:p>
      <w:pPr>
        <w:pStyle w:val="Body"/>
        <w:pBdr>
          <w:top w:val="nil"/>
          <w:left w:val="nil"/>
          <w:bottom w:val="single" w:color="f39200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f39200"/>
          <w:sz w:val="32"/>
          <w:szCs w:val="32"/>
          <w:u w:color="f39200"/>
          <w:rtl w:val="0"/>
          <w:lang w:val="en-US"/>
          <w14:textFill>
            <w14:solidFill>
              <w14:srgbClr w14:val="F39200"/>
            </w14:solidFill>
          </w14:textFill>
        </w:rPr>
        <w:t>Clinical Expansion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Demand for mental health services has grown rapidly. In </w:t>
      </w:r>
      <w:r>
        <w:rPr>
          <w:b w:val="1"/>
          <w:bCs w:val="1"/>
          <w:outline w:val="0"/>
          <w:color w:val="f39200"/>
          <w:u w:color="f39200"/>
          <w:rtl w:val="0"/>
          <w:lang w:val="en-US"/>
          <w14:textFill>
            <w14:solidFill>
              <w14:srgbClr w14:val="F39200"/>
            </w14:solidFill>
          </w14:textFill>
        </w:rPr>
        <w:t>January 2025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, Empowerment Pathways began with a single clinician. Today, our clinical team has grown </w:t>
      </w:r>
      <w:r>
        <w:rPr>
          <w:b w:val="1"/>
          <w:bCs w:val="1"/>
          <w:outline w:val="0"/>
          <w:color w:val="f39200"/>
          <w:u w:color="f39200"/>
          <w:rtl w:val="0"/>
          <w:lang w:val="en-US"/>
          <w14:textFill>
            <w14:solidFill>
              <w14:srgbClr w14:val="F39200"/>
            </w14:solidFill>
          </w14:textFill>
        </w:rPr>
        <w:t>fourfold to 4 clinicians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, dramatically increasing our capacity to deliver timely therapy and support to women, children, and families.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6"/>
        <w:gridCol w:w="3216"/>
        <w:gridCol w:w="3216"/>
      </w:tblGrid>
      <w:tr>
        <w:tblPrEx>
          <w:shd w:val="clear" w:color="auto" w:fill="ced7e7"/>
        </w:tblPrEx>
        <w:trPr>
          <w:trHeight w:val="1532" w:hRule="atLeast"/>
        </w:trPr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6a7378"/>
                <w:sz w:val="68"/>
                <w:szCs w:val="68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1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Clinician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6a7378"/>
                <w:sz w:val="21"/>
                <w:szCs w:val="21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(January 2025)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</w:pPr>
            <w:r>
              <w:rPr>
                <w:b w:val="1"/>
                <w:bCs w:val="1"/>
                <w:outline w:val="0"/>
                <w:color w:val="f39200"/>
                <w:sz w:val="56"/>
                <w:szCs w:val="56"/>
                <w:u w:color="f39200"/>
                <w:shd w:val="nil" w:color="auto" w:fill="auto"/>
                <w:rtl w:val="0"/>
                <w:lang w:val="en-US"/>
                <w14:textFill>
                  <w14:solidFill>
                    <w14:srgbClr w14:val="F39200"/>
                  </w14:solidFill>
                </w14:textFill>
              </w:rPr>
              <w:t>→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fdf0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39200"/>
                <w:sz w:val="68"/>
                <w:szCs w:val="68"/>
                <w:u w:color="f39200"/>
                <w:shd w:val="nil" w:color="auto" w:fill="auto"/>
                <w:rtl w:val="0"/>
                <w:lang w:val="en-US"/>
                <w14:textFill>
                  <w14:solidFill>
                    <w14:srgbClr w14:val="F39200"/>
                  </w14:solidFill>
                </w14:textFill>
              </w:rPr>
              <w:t>4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Clinicians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6a7378"/>
                <w:sz w:val="21"/>
                <w:szCs w:val="21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(Today)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pBdr>
          <w:top w:val="nil"/>
          <w:left w:val="nil"/>
          <w:bottom w:val="single" w:color="9b3b96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9b3b96"/>
          <w:sz w:val="32"/>
          <w:szCs w:val="32"/>
          <w:u w:color="9b3b96"/>
          <w:rtl w:val="0"/>
          <w:lang w:val="en-US"/>
          <w14:textFill>
            <w14:solidFill>
              <w14:srgbClr w14:val="9B3B96"/>
            </w14:solidFill>
          </w14:textFill>
        </w:rPr>
        <w:t>University Internship Program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A cornerstone of our growth is our </w:t>
      </w:r>
      <w:r>
        <w:rPr>
          <w:b w:val="1"/>
          <w:bCs w:val="1"/>
          <w:outline w:val="0"/>
          <w:color w:val="9b3b96"/>
          <w:u w:color="9b3b96"/>
          <w:rtl w:val="0"/>
          <w:lang w:val="en-US"/>
          <w14:textFill>
            <w14:solidFill>
              <w14:srgbClr w14:val="9B3B96"/>
            </w14:solidFill>
          </w14:textFill>
        </w:rPr>
        <w:t>university internship program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. Empowerment Pathways partners with leading local universities to welcome graduate-level interns into our clinical team, mentoring the next generation of mental health professionals while expanding the care we can offer.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We are proud to bring on interns from </w:t>
      </w:r>
      <w:r>
        <w:rPr>
          <w:b w:val="1"/>
          <w:bCs w:val="1"/>
          <w:outline w:val="0"/>
          <w:color w:val="d6166b"/>
          <w:u w:color="d6166b"/>
          <w:rtl w:val="0"/>
          <w:lang w:val="en-US"/>
          <w14:textFill>
            <w14:solidFill>
              <w14:srgbClr w14:val="D6166B"/>
            </w14:solidFill>
          </w14:textFill>
        </w:rPr>
        <w:t>Marywood University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and </w:t>
      </w:r>
      <w:r>
        <w:rPr>
          <w:b w:val="1"/>
          <w:bCs w:val="1"/>
          <w:outline w:val="0"/>
          <w:color w:val="0e6e8c"/>
          <w:u w:color="0e6e8c"/>
          <w:rtl w:val="0"/>
          <w:lang w:val="it-IT"/>
          <w14:textFill>
            <w14:solidFill>
              <w14:srgbClr w14:val="0E6E8C"/>
            </w14:solidFill>
          </w14:textFill>
        </w:rPr>
        <w:t>Moravian University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. This partnership is more than training 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— 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it directly enables Empowerment Pathways to offer </w:t>
      </w:r>
      <w:r>
        <w:rPr>
          <w:b w:val="1"/>
          <w:bCs w:val="1"/>
          <w:outline w:val="0"/>
          <w:color w:val="f39200"/>
          <w:u w:color="f39200"/>
          <w:rtl w:val="0"/>
          <w:lang w:val="en-US"/>
          <w14:textFill>
            <w14:solidFill>
              <w14:srgbClr w14:val="F39200"/>
            </w14:solidFill>
          </w14:textFill>
        </w:rPr>
        <w:t>free therapy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to community members who need it most, removing cost as a barrier to care.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4"/>
        <w:gridCol w:w="4824"/>
      </w:tblGrid>
      <w:tr>
        <w:tblPrEx>
          <w:shd w:val="clear" w:color="auto" w:fill="ced7e7"/>
        </w:tblPrEx>
        <w:trPr>
          <w:trHeight w:val="968" w:hRule="atLeast"/>
        </w:trPr>
        <w:tc>
          <w:tcPr>
            <w:tcW w:type="dxa" w:w="4824"/>
            <w:tcBorders>
              <w:top w:val="nil"/>
              <w:left w:val="nil"/>
              <w:bottom w:val="nil"/>
              <w:right w:val="nil"/>
            </w:tcBorders>
            <w:shd w:val="clear" w:color="auto" w:fill="fce4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d6166b"/>
                <w:sz w:val="26"/>
                <w:szCs w:val="26"/>
                <w:u w:color="d6166b"/>
                <w:shd w:val="nil" w:color="auto" w:fill="auto"/>
                <w:rtl w:val="0"/>
                <w:lang w:val="en-US"/>
                <w14:textFill>
                  <w14:solidFill>
                    <w14:srgbClr w14:val="D6166B"/>
                  </w14:solidFill>
                </w14:textFill>
              </w:rPr>
              <w:t>Marywood University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Graduate clinical interns serving women, children, and families.</w:t>
            </w:r>
          </w:p>
        </w:tc>
        <w:tc>
          <w:tcPr>
            <w:tcW w:type="dxa" w:w="4824"/>
            <w:tcBorders>
              <w:top w:val="nil"/>
              <w:left w:val="nil"/>
              <w:bottom w:val="nil"/>
              <w:right w:val="nil"/>
            </w:tcBorders>
            <w:shd w:val="clear" w:color="auto" w:fill="ea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0e6e8c"/>
                <w:sz w:val="26"/>
                <w:szCs w:val="26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Moravian University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Emerging clinicians extending free, accessible therapy.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Partnerships with Marywood University and Moravian University.</w:t>
      </w: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Supervised graduate interns expand our clinical capacity year over year.</w:t>
      </w:r>
    </w:p>
    <w:p>
      <w:pPr>
        <w:pStyle w:val="List Bullet"/>
        <w:numPr>
          <w:ilvl w:val="0"/>
          <w:numId w:val="2"/>
        </w:numPr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Free therapy made possible for community members facing financial barriers.</w:t>
      </w:r>
    </w:p>
    <w:p>
      <w:pPr>
        <w:pStyle w:val="Body"/>
        <w:pBdr>
          <w:top w:val="nil"/>
          <w:left w:val="nil"/>
          <w:bottom w:val="single" w:color="29b6e0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29b6e0"/>
          <w:sz w:val="32"/>
          <w:szCs w:val="32"/>
          <w:u w:color="29b6e0"/>
          <w:rtl w:val="0"/>
          <w:lang w:val="en-US"/>
          <w14:textFill>
            <w14:solidFill>
              <w14:srgbClr w14:val="29B6E0"/>
            </w14:solidFill>
          </w14:textFill>
        </w:rPr>
        <w:t>Pathways to Discovery</w:t>
      </w:r>
    </w:p>
    <w:p>
      <w:pPr>
        <w:pStyle w:val="Body"/>
      </w:pPr>
      <w:r>
        <w:rPr>
          <w:b w:val="1"/>
          <w:bCs w:val="1"/>
          <w:outline w:val="0"/>
          <w:color w:val="29b6e0"/>
          <w:u w:color="29b6e0"/>
          <w:rtl w:val="0"/>
          <w:lang w:val="en-US"/>
          <w14:textFill>
            <w14:solidFill>
              <w14:srgbClr w14:val="29B6E0"/>
            </w14:solidFill>
          </w14:textFill>
        </w:rPr>
        <w:t>Pathways to Discovery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is our flagship </w:t>
      </w:r>
      <w:r>
        <w:rPr>
          <w:b w:val="1"/>
          <w:bCs w:val="1"/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one-month summer program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for youth, designed to spark curiosity, build confidence, and foster connection. Each of the four weeks centers on a different theme, giving participants a fresh way to explore the world and themselves.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2"/>
        <w:gridCol w:w="2412"/>
        <w:gridCol w:w="2412"/>
        <w:gridCol w:w="2412"/>
      </w:tblGrid>
      <w:tr>
        <w:tblPrEx>
          <w:shd w:val="clear" w:color="auto" w:fill="ced7e7"/>
        </w:tblPrEx>
        <w:trPr>
          <w:trHeight w:val="1463" w:hRule="atLeast"/>
        </w:trPr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fce4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6a7378"/>
                <w:sz w:val="18"/>
                <w:szCs w:val="18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WEEK 1</w:t>
            </w:r>
          </w:p>
          <w:p>
            <w:pPr>
              <w:pStyle w:val="Body"/>
              <w:bidi w:val="0"/>
              <w:spacing w:after="8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outline w:val="0"/>
                <w:color w:val="d6166b"/>
                <w:sz w:val="30"/>
                <w:szCs w:val="30"/>
                <w:u w:color="d6166b"/>
                <w:shd w:val="nil" w:color="auto" w:fill="auto"/>
                <w:rtl w:val="0"/>
                <w:lang w:val="en-US"/>
                <w14:textFill>
                  <w14:solidFill>
                    <w14:srgbClr w14:val="D6166B"/>
                  </w14:solidFill>
                </w14:textFill>
              </w:rPr>
              <w:t>Art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Creative expression through painting, crafts, and design.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ea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6a7378"/>
                <w:sz w:val="18"/>
                <w:szCs w:val="18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WEEK 2</w:t>
            </w:r>
          </w:p>
          <w:p>
            <w:pPr>
              <w:pStyle w:val="Body"/>
              <w:bidi w:val="0"/>
              <w:spacing w:after="8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outline w:val="0"/>
                <w:color w:val="0e6e8c"/>
                <w:sz w:val="30"/>
                <w:szCs w:val="30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Nature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Outdoor exploration, environmental learning, and stewardship.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fdf0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6a7378"/>
                <w:sz w:val="18"/>
                <w:szCs w:val="18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WEEK 3</w:t>
            </w:r>
          </w:p>
          <w:p>
            <w:pPr>
              <w:pStyle w:val="Body"/>
              <w:bidi w:val="0"/>
              <w:spacing w:after="8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outline w:val="0"/>
                <w:color w:val="f39200"/>
                <w:sz w:val="30"/>
                <w:szCs w:val="30"/>
                <w:u w:color="f39200"/>
                <w:shd w:val="nil" w:color="auto" w:fill="auto"/>
                <w:rtl w:val="0"/>
                <w:lang w:val="en-US"/>
                <w14:textFill>
                  <w14:solidFill>
                    <w14:srgbClr w14:val="F39200"/>
                  </w14:solidFill>
                </w14:textFill>
              </w:rPr>
              <w:t>Sports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Teamwork, movement, and healthy active play.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f1e4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6a7378"/>
                <w:sz w:val="18"/>
                <w:szCs w:val="18"/>
                <w:u w:color="6a7378"/>
                <w:shd w:val="nil" w:color="auto" w:fill="auto"/>
                <w:rtl w:val="0"/>
                <w:lang w:val="en-US"/>
                <w14:textFill>
                  <w14:solidFill>
                    <w14:srgbClr w14:val="6A7378"/>
                  </w14:solidFill>
                </w14:textFill>
              </w:rPr>
              <w:t>WEEK 4</w:t>
            </w:r>
          </w:p>
          <w:p>
            <w:pPr>
              <w:pStyle w:val="Body"/>
              <w:bidi w:val="0"/>
              <w:spacing w:after="8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outline w:val="0"/>
                <w:color w:val="9b3b96"/>
                <w:sz w:val="30"/>
                <w:szCs w:val="30"/>
                <w:u w:color="9b3b96"/>
                <w:shd w:val="nil" w:color="auto" w:fill="auto"/>
                <w:rtl w:val="0"/>
                <w:lang w:val="en-US"/>
                <w14:textFill>
                  <w14:solidFill>
                    <w14:srgbClr w14:val="9B3B96"/>
                  </w14:solidFill>
                </w14:textFill>
              </w:rPr>
              <w:t>Literature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Reading, storytelling, and the power of voice.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spacing w:before="200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Beyond the summer, we sustain connection year-round through our </w:t>
      </w:r>
      <w:r>
        <w:rPr>
          <w:b w:val="1"/>
          <w:bCs w:val="1"/>
          <w:outline w:val="0"/>
          <w:color w:val="29b6e0"/>
          <w:u w:color="29b6e0"/>
          <w:rtl w:val="0"/>
          <w:lang w:val="en-US"/>
          <w14:textFill>
            <w14:solidFill>
              <w14:srgbClr w14:val="29B6E0"/>
            </w14:solidFill>
          </w14:textFill>
        </w:rPr>
        <w:t>virtual support groups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 xml:space="preserve"> — 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accessible, online gatherings that give parents and caregivers across the community a consistent space to share, learn, and grow together.</w:t>
      </w:r>
    </w:p>
    <w:p>
      <w:pPr>
        <w:pStyle w:val="Body"/>
        <w:pBdr>
          <w:top w:val="nil"/>
          <w:left w:val="nil"/>
          <w:bottom w:val="single" w:color="d6166b" w:sz="14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d6166b"/>
          <w:sz w:val="32"/>
          <w:szCs w:val="32"/>
          <w:u w:color="d6166b"/>
          <w:rtl w:val="0"/>
          <w:lang w:val="en-US"/>
          <w14:textFill>
            <w14:solidFill>
              <w14:srgbClr w14:val="D6166B"/>
            </w14:solidFill>
          </w14:textFill>
        </w:rPr>
        <w:t>Impact by the Numbers</w:t>
      </w:r>
    </w:p>
    <w:p>
      <w:pPr>
        <w:pStyle w:val="Body"/>
      </w:pP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Behind every number is a family supported, a child encouraged, or a parent given new tools to thrive. Our 2025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–</w:t>
      </w:r>
      <w:r>
        <w:rPr>
          <w:outline w:val="0"/>
          <w:color w:val="222a2e"/>
          <w:u w:color="222a2e"/>
          <w:rtl w:val="0"/>
          <w:lang w:val="en-US"/>
          <w14:textFill>
            <w14:solidFill>
              <w14:srgbClr w14:val="222A2E"/>
            </w14:solidFill>
          </w14:textFill>
        </w:rPr>
        <w:t>2026 results reflect both reach and quality of care.</w:t>
      </w: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6"/>
        <w:gridCol w:w="3216"/>
        <w:gridCol w:w="3216"/>
      </w:tblGrid>
      <w:tr>
        <w:tblPrEx>
          <w:shd w:val="clear" w:color="auto" w:fill="ced7e7"/>
        </w:tblPrEx>
        <w:trPr>
          <w:trHeight w:val="1149" w:hRule="atLeast"/>
        </w:trPr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fce4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d6166b"/>
                <w:sz w:val="64"/>
                <w:szCs w:val="64"/>
                <w:u w:color="d6166b"/>
                <w:shd w:val="nil" w:color="auto" w:fill="auto"/>
                <w:rtl w:val="0"/>
                <w:lang w:val="en-US"/>
                <w14:textFill>
                  <w14:solidFill>
                    <w14:srgbClr w14:val="D6166B"/>
                  </w14:solidFill>
                </w14:textFill>
              </w:rPr>
              <w:t>164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Clients Served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ea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0e6e8c"/>
                <w:sz w:val="64"/>
                <w:szCs w:val="64"/>
                <w:u w:color="0e6e8c"/>
                <w:shd w:val="nil" w:color="auto" w:fill="auto"/>
                <w:rtl w:val="0"/>
                <w:lang w:val="en-US"/>
                <w14:textFill>
                  <w14:solidFill>
                    <w14:srgbClr w14:val="0E6E8C"/>
                  </w14:solidFill>
                </w14:textFill>
              </w:rPr>
              <w:t>2,273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Appointments Delivered</w:t>
            </w:r>
          </w:p>
        </w:tc>
        <w:tc>
          <w:tcPr>
            <w:tcW w:type="dxa" w:w="3216"/>
            <w:tcBorders>
              <w:top w:val="nil"/>
              <w:left w:val="nil"/>
              <w:bottom w:val="nil"/>
              <w:right w:val="nil"/>
            </w:tcBorders>
            <w:shd w:val="clear" w:color="auto" w:fill="fdf0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4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39200"/>
                <w:sz w:val="64"/>
                <w:szCs w:val="64"/>
                <w:u w:color="f39200"/>
                <w:shd w:val="nil" w:color="auto" w:fill="auto"/>
                <w:rtl w:val="0"/>
                <w:lang w:val="en-US"/>
                <w14:textFill>
                  <w14:solidFill>
                    <w14:srgbClr w14:val="F39200"/>
                  </w14:solidFill>
                </w14:textFill>
              </w:rPr>
              <w:t>95%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Reported Positive Outcomes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</w:pPr>
    </w:p>
    <w:tbl>
      <w:tblPr>
        <w:tblW w:w="96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8"/>
      </w:tblGrid>
      <w:tr>
        <w:tblPrEx>
          <w:shd w:val="clear" w:color="auto" w:fill="ced7e7"/>
        </w:tblPrEx>
        <w:trPr>
          <w:trHeight w:val="758" w:hRule="atLeast"/>
        </w:trPr>
        <w:tc>
          <w:tcPr>
            <w:tcW w:type="dxa" w:w="9648"/>
            <w:tcBorders>
              <w:top w:val="nil"/>
              <w:left w:val="nil"/>
              <w:bottom w:val="nil"/>
              <w:right w:val="nil"/>
            </w:tcBorders>
            <w:shd w:val="clear" w:color="auto" w:fill="0e6e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Join us in advocating for women, children, and families.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www.newempwermentpathways.org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  <w:r/>
    </w:p>
    <w:sectPr>
      <w:headerReference w:type="default" r:id="rId6"/>
      <w:footerReference w:type="default" r:id="rId7"/>
      <w:pgSz w:w="12240" w:h="15840" w:orient="portrait"/>
      <w:pgMar w:top="1008" w:right="1296" w:bottom="1008" w:left="129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b w:val="1"/>
        <w:bCs w:val="1"/>
        <w:outline w:val="0"/>
        <w:color w:val="0e6e8c"/>
        <w:sz w:val="18"/>
        <w:szCs w:val="18"/>
        <w:u w:color="0e6e8c"/>
        <w:rtl w:val="0"/>
        <w:lang w:val="en-US"/>
        <w14:textFill>
          <w14:solidFill>
            <w14:srgbClr w14:val="0E6E8C"/>
          </w14:solidFill>
        </w14:textFill>
      </w:rPr>
      <w:t>www.newempwermentpathways.org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    ·    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Advocate 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· 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Connect 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· </w:t>
    </w:r>
    <w:r>
      <w:rPr>
        <w:outline w:val="0"/>
        <w:color w:val="6a7378"/>
        <w:sz w:val="18"/>
        <w:szCs w:val="18"/>
        <w:u w:color="6a7378"/>
        <w:rtl w:val="0"/>
        <w:lang w:val="en-US"/>
        <w14:textFill>
          <w14:solidFill>
            <w14:srgbClr w14:val="6A7378"/>
          </w14:solidFill>
        </w14:textFill>
      </w:rPr>
      <w:t>Grow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317618" cy="384048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18" cy="3840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"/>
      <w:pBdr>
        <w:top w:val="nil"/>
        <w:left w:val="nil"/>
        <w:bottom w:val="single" w:color="c9d7dc" w:sz="6" w:space="0" w:shadow="0" w:frame="0"/>
        <w:right w:val="nil"/>
      </w:pBdr>
      <w:jc w:val="right"/>
    </w:pP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de-DE"/>
        <w14:textFill>
          <w14:solidFill>
            <w14:srgbClr w14:val="6A7378"/>
          </w14:solidFill>
        </w14:textFill>
      </w:rPr>
      <w:t xml:space="preserve">EMPOWERMENT PATHWAYS 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· 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Advocate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·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Connect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:lang w:val="en-US"/>
        <w14:textFill>
          <w14:solidFill>
            <w14:srgbClr w14:val="6A7378"/>
          </w14:solidFill>
        </w14:textFill>
      </w:rPr>
      <w:t xml:space="preserve">· </w:t>
    </w:r>
    <w:r>
      <w:rPr>
        <w:b w:val="1"/>
        <w:bCs w:val="1"/>
        <w:outline w:val="0"/>
        <w:color w:val="6a7378"/>
        <w:sz w:val="16"/>
        <w:szCs w:val="16"/>
        <w:u w:color="6a7378"/>
        <w:rtl w:val="0"/>
        <w14:textFill>
          <w14:solidFill>
            <w14:srgbClr w14:val="6A7378"/>
          </w14:solidFill>
        </w14:textFill>
      </w:rPr>
      <w:t>Grow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a2e"/>
      <w:spacing w:val="0"/>
      <w:kern w:val="0"/>
      <w:position w:val="0"/>
      <w:sz w:val="22"/>
      <w:szCs w:val="22"/>
      <w:u w:val="none" w:color="222a2e"/>
      <w:shd w:val="nil" w:color="auto" w:fill="auto"/>
      <w:vertAlign w:val="baseline"/>
      <w:lang w:val="en-US"/>
      <w14:textFill>
        <w14:solidFill>
          <w14:srgbClr w14:val="222A2E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a2e"/>
      <w:spacing w:val="0"/>
      <w:kern w:val="0"/>
      <w:position w:val="0"/>
      <w:sz w:val="22"/>
      <w:szCs w:val="22"/>
      <w:u w:val="none" w:color="222a2e"/>
      <w:shd w:val="nil" w:color="auto" w:fill="auto"/>
      <w:vertAlign w:val="baseline"/>
      <w:lang w:val="de-DE"/>
      <w14:textOutline>
        <w14:noFill/>
      </w14:textOutline>
      <w14:textFill>
        <w14:solidFill>
          <w14:srgbClr w14:val="222A2E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a2e"/>
      <w:spacing w:val="0"/>
      <w:kern w:val="0"/>
      <w:position w:val="0"/>
      <w:sz w:val="22"/>
      <w:szCs w:val="22"/>
      <w:u w:val="none" w:color="222a2e"/>
      <w:shd w:val="nil" w:color="auto" w:fill="auto"/>
      <w:vertAlign w:val="baseline"/>
      <w:lang w:val="en-US"/>
      <w14:textFill>
        <w14:solidFill>
          <w14:srgbClr w14:val="222A2E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a2e"/>
      <w:spacing w:val="0"/>
      <w:kern w:val="0"/>
      <w:position w:val="0"/>
      <w:sz w:val="22"/>
      <w:szCs w:val="22"/>
      <w:u w:val="none" w:color="222a2e"/>
      <w:shd w:val="nil" w:color="auto" w:fill="auto"/>
      <w:vertAlign w:val="baseline"/>
      <w:lang w:val="en-US"/>
      <w14:textFill>
        <w14:solidFill>
          <w14:srgbClr w14:val="222A2E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